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4E37"/>
          <w:sz w:val="32"/>
          <w:szCs w:val="32"/>
        </w:rPr>
        <w:t xml:space="preserve">Emission Factors and Climate Impacts of Small-Scale, In-Forest Biochar Production Techniques</w:t>
      </w:r>
    </w:p>
    <w:p>
      <w:pPr>
        <w:spacing w:after="60"/>
        <w:jc w:val="center"/>
      </w:pPr>
      <w:r>
        <w:rPr>
          <w:i/>
          <w:iCs/>
          <w:color w:val="555555"/>
          <w:sz w:val="22"/>
          <w:szCs w:val="22"/>
        </w:rPr>
        <w:t xml:space="preserve">Supporting Research Summary — Preliminary Results</w:t>
      </w:r>
    </w:p>
    <w:p>
      <w:pPr>
        <w:spacing w:after="200"/>
        <w:jc w:val="center"/>
      </w:pPr>
      <w:r>
        <w:rPr>
          <w:color w:val="777777"/>
          <w:sz w:val="18"/>
          <w:szCs w:val="18"/>
        </w:rPr>
        <w:t xml:space="preserve">Source: Amonette, J. "Biomass and Biochar Properties, Emission Factors, and 100-y Climate Impacts for Small-Scale In-Forest Techniques: Preliminary Results." Project Webinar, 20 March 2026. Center for Sustaining Agriculture &amp; Natural Resources, Washington State University, Wenatchee, WA; Physical Sciences Division, Pacific Northwest National Laboratory, Richland, WA.</w:t>
      </w:r>
    </w:p>
    <w:p>
      <w:pPr>
        <w:pBdr>
          <w:bottom w:val="single" w:color="999999" w:sz="6" w:space="1"/>
        </w:pBdr>
        <w:spacing w:after="200"/>
      </w:pPr>
    </w:p>
    <w:p>
      <w:pPr>
        <w:pStyle w:val="Heading1"/>
        <w:spacing w:after="150" w:before="300"/>
      </w:pPr>
      <w:r>
        <w:rPr>
          <w:b/>
          <w:bCs/>
          <w:color w:val="1F4E37"/>
          <w:sz w:val="28"/>
          <w:szCs w:val="28"/>
        </w:rPr>
        <w:t xml:space="preserve">Purpose of the Study</w:t>
      </w:r>
    </w:p>
    <w:p>
      <w:pPr>
        <w:spacing w:after="140"/>
      </w:pPr>
      <w:r>
        <w:rPr>
          <w:sz w:val="21"/>
          <w:szCs w:val="21"/>
        </w:rPr>
        <w:t xml:space="preserve">This work compares three small-scale, in-forest biomass reduction techniques — Traditional open-pile burning, Conservation burning, and Flame-Cap Kiln production — to quantify (1) field- and laboratory-measured emission factors and (2) 100-year dynamic life-cycle climate impacts of the biochar produced. The analysis is designed to inform forest health and fuels-reduction programs about which small-scale biochar production methods deliver the greatest net climate benefit relative to conventional slash disposal.</w:t>
      </w:r>
    </w:p>
    <w:p>
      <w:pPr>
        <w:pStyle w:val="Heading1"/>
        <w:spacing w:after="150" w:before="300"/>
      </w:pPr>
      <w:r>
        <w:rPr>
          <w:b/>
          <w:bCs/>
          <w:color w:val="1F4E37"/>
          <w:sz w:val="28"/>
          <w:szCs w:val="28"/>
        </w:rPr>
        <w:t xml:space="preserve">Methods Overview</w:t>
      </w:r>
    </w:p>
    <w:p>
      <w:pPr>
        <w:pStyle w:val="ListParagraph"/>
        <w:numPr>
          <w:ilvl w:val="0"/>
          <w:numId w:val="1"/>
        </w:numPr>
        <w:spacing w:after="80"/>
      </w:pPr>
      <w:r>
        <w:rPr>
          <w:sz w:val="21"/>
          <w:szCs w:val="21"/>
        </w:rPr>
        <w:t xml:space="preserve">Emission factors were measured for both field burns and matched laboratory chamber replications across the three burn methods.</w:t>
      </w:r>
    </w:p>
    <w:p>
      <w:pPr>
        <w:pStyle w:val="ListParagraph"/>
        <w:numPr>
          <w:ilvl w:val="0"/>
          <w:numId w:val="1"/>
        </w:numPr>
        <w:spacing w:after="80"/>
      </w:pPr>
      <w:r>
        <w:rPr>
          <w:sz w:val="21"/>
          <w:szCs w:val="21"/>
        </w:rPr>
        <w:t xml:space="preserve">Measured species included CO2, CO, CH4, non-methane hydrocarbons (NMHC), NO, NOx, and PM2.5, expressed per kg of dry biomass combusted and per kg of dry biomass processed.</w:t>
      </w:r>
    </w:p>
    <w:p>
      <w:pPr>
        <w:pStyle w:val="ListParagraph"/>
        <w:numPr>
          <w:ilvl w:val="0"/>
          <w:numId w:val="1"/>
        </w:numPr>
        <w:spacing w:after="80"/>
      </w:pPr>
      <w:r>
        <w:rPr>
          <w:sz w:val="21"/>
          <w:szCs w:val="21"/>
        </w:rPr>
        <w:t xml:space="preserve">A "Simple Biochar-Production Dynamic LCA" framework was applied, benchmarking each method's 100-year climate impact (CIPROD100) against an idealized "immaculate combustion" reference case (instantaneous, complete oxidation to CO2 with no biochar formed).</w:t>
      </w:r>
    </w:p>
    <w:p>
      <w:pPr>
        <w:pStyle w:val="ListParagraph"/>
        <w:numPr>
          <w:ilvl w:val="0"/>
          <w:numId w:val="1"/>
        </w:numPr>
        <w:spacing w:after="80"/>
      </w:pPr>
      <w:r>
        <w:rPr>
          <w:sz w:val="21"/>
          <w:szCs w:val="21"/>
        </w:rPr>
        <w:t xml:space="preserve">Dynamic Global Warming Potentials (GWPs) were applied to CH4, N2O, and black-carbon aerosol emissions to account for their differing atmospheric decay behavior relative to CO2 over the 100-year horizon.</w:t>
      </w:r>
    </w:p>
    <w:p>
      <w:pPr>
        <w:pStyle w:val="ListParagraph"/>
        <w:numPr>
          <w:ilvl w:val="0"/>
          <w:numId w:val="1"/>
        </w:numPr>
        <w:spacing w:after="80"/>
      </w:pPr>
      <w:r>
        <w:rPr>
          <w:sz w:val="21"/>
          <w:szCs w:val="21"/>
        </w:rPr>
        <w:t xml:space="preserve">CIPROD100 is decomposed into three components: carbon efficiency &amp; soil permanence (CICESP100), production emissions (CIPEMI100), and bioenergy-offset credit (CIENER100); no bioenergy recovery was credited in this preliminary analysis.</w:t>
      </w:r>
    </w:p>
    <w:p>
      <w:pPr>
        <w:pStyle w:val="Heading1"/>
        <w:spacing w:after="150" w:before="300"/>
      </w:pPr>
      <w:r>
        <w:rPr>
          <w:b/>
          <w:bCs/>
          <w:color w:val="1F4E37"/>
          <w:sz w:val="28"/>
          <w:szCs w:val="28"/>
        </w:rPr>
        <w:t xml:space="preserve">Key Findings</w:t>
      </w:r>
    </w:p>
    <w:p>
      <w:pPr>
        <w:pStyle w:val="Heading2"/>
        <w:spacing w:after="100" w:before="200"/>
      </w:pPr>
      <w:r>
        <w:rPr>
          <w:b/>
          <w:bCs/>
          <w:color w:val="355E3B"/>
          <w:sz w:val="24"/>
          <w:szCs w:val="24"/>
        </w:rPr>
        <w:t xml:space="preserve">1. Biochar Carbon Efficiency</w:t>
      </w:r>
    </w:p>
    <w:p>
      <w:pPr>
        <w:spacing w:after="140"/>
      </w:pPr>
      <w:r>
        <w:rPr>
          <w:sz w:val="21"/>
          <w:szCs w:val="21"/>
        </w:rPr>
        <w:t xml:space="preserve">Carbon efficiency — the share of biomass carbon retained in the biochar rather than emitted — varied more than tenfold across methods and was the single largest driver of climate performance:</w:t>
      </w:r>
    </w:p>
    <w:p>
      <w:pPr>
        <w:pStyle w:val="ListParagraph"/>
        <w:numPr>
          <w:ilvl w:val="0"/>
          <w:numId w:val="1"/>
        </w:numPr>
        <w:spacing w:after="80"/>
      </w:pPr>
      <w:r>
        <w:rPr>
          <w:sz w:val="21"/>
          <w:szCs w:val="21"/>
        </w:rPr>
        <w:t xml:space="preserve">Flame-Cap Kiln (field): 31.0% of biomass C retained as biochar (69% combusted)</w:t>
      </w:r>
    </w:p>
    <w:p>
      <w:pPr>
        <w:pStyle w:val="ListParagraph"/>
        <w:numPr>
          <w:ilvl w:val="0"/>
          <w:numId w:val="1"/>
        </w:numPr>
        <w:spacing w:after="80"/>
      </w:pPr>
      <w:r>
        <w:rPr>
          <w:sz w:val="21"/>
          <w:szCs w:val="21"/>
        </w:rPr>
        <w:t xml:space="preserve">Conservation burns (field): 13.1% retained (87% combusted)</w:t>
      </w:r>
    </w:p>
    <w:p>
      <w:pPr>
        <w:pStyle w:val="ListParagraph"/>
        <w:numPr>
          <w:ilvl w:val="0"/>
          <w:numId w:val="1"/>
        </w:numPr>
        <w:spacing w:after="80"/>
      </w:pPr>
      <w:r>
        <w:rPr>
          <w:sz w:val="21"/>
          <w:szCs w:val="21"/>
        </w:rPr>
        <w:t xml:space="preserve">Traditional pile burns (field): only 2.6% retained (97% combusted)</w:t>
      </w:r>
    </w:p>
    <w:p>
      <w:pPr>
        <w:pStyle w:val="Heading2"/>
        <w:spacing w:after="100" w:before="200"/>
      </w:pPr>
      <w:r>
        <w:rPr>
          <w:b/>
          <w:bCs/>
          <w:color w:val="355E3B"/>
          <w:sz w:val="24"/>
          <w:szCs w:val="24"/>
        </w:rPr>
        <w:t xml:space="preserve">2. Emission Factors (per kg dry biomass carbon processed, field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1440"/>
        <w:gridCol w:w="1200"/>
        <w:gridCol w:w="1200"/>
        <w:gridCol w:w="1440"/>
        <w:gridCol w:w="1920"/>
      </w:tblGrid>
      <w:tr>
        <w:trPr>
          <w:tblHeader/>
        </w:trPr>
        <w:tc>
          <w:tcPr>
            <w:tcW w:type="dxa" w:w="2160"/>
            <w:shd w:fill="1F4E37" w:val="clear"/>
            <w:tcMar>
              <w:top w:type="dxa" w:w="60"/>
              <w:left w:type="dxa" w:w="100"/>
              <w:bottom w:type="dxa" w:w="60"/>
              <w:right w:type="dxa" w:w="100"/>
            </w:tcMar>
            <w:vAlign w:val="center"/>
          </w:tcPr>
          <w:p>
            <w:pPr>
              <w:jc w:val="center"/>
            </w:pPr>
            <w:r>
              <w:rPr>
                <w:b/>
                <w:bCs/>
                <w:color w:val="FFFFFF"/>
                <w:sz w:val="20"/>
                <w:szCs w:val="20"/>
              </w:rPr>
              <w:t xml:space="preserve">Burn Method</w:t>
            </w:r>
          </w:p>
        </w:tc>
        <w:tc>
          <w:tcPr>
            <w:tcW w:type="dxa" w:w="1440"/>
            <w:shd w:fill="1F4E37" w:val="clear"/>
            <w:tcMar>
              <w:top w:type="dxa" w:w="60"/>
              <w:left w:type="dxa" w:w="100"/>
              <w:bottom w:type="dxa" w:w="60"/>
              <w:right w:type="dxa" w:w="100"/>
            </w:tcMar>
            <w:vAlign w:val="center"/>
          </w:tcPr>
          <w:p>
            <w:pPr>
              <w:jc w:val="center"/>
            </w:pPr>
            <w:r>
              <w:rPr>
                <w:b/>
                <w:bCs/>
                <w:color w:val="FFFFFF"/>
                <w:sz w:val="20"/>
                <w:szCs w:val="20"/>
              </w:rPr>
              <w:t xml:space="preserve">CO2</w:t>
            </w:r>
          </w:p>
        </w:tc>
        <w:tc>
          <w:tcPr>
            <w:tcW w:type="dxa" w:w="1200"/>
            <w:shd w:fill="1F4E37" w:val="clear"/>
            <w:tcMar>
              <w:top w:type="dxa" w:w="60"/>
              <w:left w:type="dxa" w:w="100"/>
              <w:bottom w:type="dxa" w:w="60"/>
              <w:right w:type="dxa" w:w="100"/>
            </w:tcMar>
            <w:vAlign w:val="center"/>
          </w:tcPr>
          <w:p>
            <w:pPr>
              <w:jc w:val="center"/>
            </w:pPr>
            <w:r>
              <w:rPr>
                <w:b/>
                <w:bCs/>
                <w:color w:val="FFFFFF"/>
                <w:sz w:val="20"/>
                <w:szCs w:val="20"/>
              </w:rPr>
              <w:t xml:space="preserve">CO</w:t>
            </w:r>
          </w:p>
        </w:tc>
        <w:tc>
          <w:tcPr>
            <w:tcW w:type="dxa" w:w="1200"/>
            <w:shd w:fill="1F4E37" w:val="clear"/>
            <w:tcMar>
              <w:top w:type="dxa" w:w="60"/>
              <w:left w:type="dxa" w:w="100"/>
              <w:bottom w:type="dxa" w:w="60"/>
              <w:right w:type="dxa" w:w="100"/>
            </w:tcMar>
            <w:vAlign w:val="center"/>
          </w:tcPr>
          <w:p>
            <w:pPr>
              <w:jc w:val="center"/>
            </w:pPr>
            <w:r>
              <w:rPr>
                <w:b/>
                <w:bCs/>
                <w:color w:val="FFFFFF"/>
                <w:sz w:val="20"/>
                <w:szCs w:val="20"/>
              </w:rPr>
              <w:t xml:space="preserve">CH4</w:t>
            </w:r>
          </w:p>
        </w:tc>
        <w:tc>
          <w:tcPr>
            <w:tcW w:type="dxa" w:w="1440"/>
            <w:shd w:fill="1F4E37" w:val="clear"/>
            <w:tcMar>
              <w:top w:type="dxa" w:w="60"/>
              <w:left w:type="dxa" w:w="100"/>
              <w:bottom w:type="dxa" w:w="60"/>
              <w:right w:type="dxa" w:w="100"/>
            </w:tcMar>
            <w:vAlign w:val="center"/>
          </w:tcPr>
          <w:p>
            <w:pPr>
              <w:jc w:val="center"/>
            </w:pPr>
            <w:r>
              <w:rPr>
                <w:b/>
                <w:bCs/>
                <w:color w:val="FFFFFF"/>
                <w:sz w:val="20"/>
                <w:szCs w:val="20"/>
              </w:rPr>
              <w:t xml:space="preserve">PM2.5</w:t>
            </w:r>
          </w:p>
        </w:tc>
        <w:tc>
          <w:tcPr>
            <w:tcW w:type="dxa" w:w="1920"/>
            <w:shd w:fill="1F4E37" w:val="clear"/>
            <w:tcMar>
              <w:top w:type="dxa" w:w="60"/>
              <w:left w:type="dxa" w:w="100"/>
              <w:bottom w:type="dxa" w:w="60"/>
              <w:right w:type="dxa" w:w="100"/>
            </w:tcMar>
            <w:vAlign w:val="center"/>
          </w:tcPr>
          <w:p>
            <w:pPr>
              <w:jc w:val="center"/>
            </w:pPr>
            <w:r>
              <w:rPr>
                <w:b/>
                <w:bCs/>
                <w:color w:val="FFFFFF"/>
                <w:sz w:val="20"/>
                <w:szCs w:val="20"/>
              </w:rPr>
              <w:t xml:space="preserve">Biochar C Efficiency</w:t>
            </w:r>
          </w:p>
        </w:tc>
      </w:tr>
      <w:tr>
        <w:tc>
          <w:tcPr>
            <w:tcW w:type="dxa" w:w="216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Traditional</w:t>
            </w:r>
          </w:p>
        </w:tc>
        <w:tc>
          <w:tcPr>
            <w:tcW w:type="dxa" w:w="144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1700</w:t>
            </w:r>
          </w:p>
        </w:tc>
        <w:tc>
          <w:tcPr>
            <w:tcW w:type="dxa" w:w="12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46 a</w:t>
            </w:r>
          </w:p>
        </w:tc>
        <w:tc>
          <w:tcPr>
            <w:tcW w:type="dxa" w:w="12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2.9</w:t>
            </w:r>
          </w:p>
        </w:tc>
        <w:tc>
          <w:tcPr>
            <w:tcW w:type="dxa" w:w="144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11.8</w:t>
            </w:r>
          </w:p>
        </w:tc>
        <w:tc>
          <w:tcPr>
            <w:tcW w:type="dxa" w:w="19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2.6%</w:t>
            </w:r>
          </w:p>
        </w:tc>
      </w:tr>
      <w:tr>
        <w:tc>
          <w:tcPr>
            <w:tcW w:type="dxa" w:w="216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Conservation</w:t>
            </w:r>
          </w:p>
        </w:tc>
        <w:tc>
          <w:tcPr>
            <w:tcW w:type="dxa" w:w="144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1522</w:t>
            </w:r>
          </w:p>
        </w:tc>
        <w:tc>
          <w:tcPr>
            <w:tcW w:type="dxa" w:w="120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38 a</w:t>
            </w:r>
          </w:p>
        </w:tc>
        <w:tc>
          <w:tcPr>
            <w:tcW w:type="dxa" w:w="120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2.3</w:t>
            </w:r>
          </w:p>
        </w:tc>
        <w:tc>
          <w:tcPr>
            <w:tcW w:type="dxa" w:w="144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9.5</w:t>
            </w:r>
          </w:p>
        </w:tc>
        <w:tc>
          <w:tcPr>
            <w:tcW w:type="dxa" w:w="19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13.1%</w:t>
            </w:r>
          </w:p>
        </w:tc>
      </w:tr>
      <w:tr>
        <w:tc>
          <w:tcPr>
            <w:tcW w:type="dxa" w:w="216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Flame-Cap Kiln</w:t>
            </w:r>
          </w:p>
        </w:tc>
        <w:tc>
          <w:tcPr>
            <w:tcW w:type="dxa" w:w="144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1220</w:t>
            </w:r>
          </w:p>
        </w:tc>
        <w:tc>
          <w:tcPr>
            <w:tcW w:type="dxa" w:w="12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13 b</w:t>
            </w:r>
          </w:p>
        </w:tc>
        <w:tc>
          <w:tcPr>
            <w:tcW w:type="dxa" w:w="12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0.9</w:t>
            </w:r>
          </w:p>
        </w:tc>
        <w:tc>
          <w:tcPr>
            <w:tcW w:type="dxa" w:w="144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5.9</w:t>
            </w:r>
          </w:p>
        </w:tc>
        <w:tc>
          <w:tcPr>
            <w:tcW w:type="dxa" w:w="19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31.0%</w:t>
            </w:r>
          </w:p>
        </w:tc>
      </w:tr>
    </w:tbl>
    <w:p>
      <w:pPr>
        <w:spacing w:after="200" w:before="100"/>
      </w:pPr>
    </w:p>
    <w:p>
      <w:pPr>
        <w:spacing w:after="140"/>
      </w:pPr>
      <w:r>
        <w:rPr>
          <w:sz w:val="21"/>
          <w:szCs w:val="21"/>
        </w:rPr>
        <w:t xml:space="preserve">Flame-Cap Kilns reduced CO emissions by roughly 65–72% and CH4 emissions by roughly 60–70% relative to Traditional burns, while also producing substantially more biochar per unit of biomass processed.</w:t>
      </w:r>
    </w:p>
    <w:p>
      <w:pPr>
        <w:pStyle w:val="Heading2"/>
        <w:spacing w:after="100" w:before="200"/>
      </w:pPr>
      <w:r>
        <w:rPr>
          <w:b/>
          <w:bCs/>
          <w:color w:val="355E3B"/>
          <w:sz w:val="24"/>
          <w:szCs w:val="24"/>
        </w:rPr>
        <w:t xml:space="preserve">3. 100-Year Climate Impact Ranking</w:t>
      </w:r>
    </w:p>
    <w:p>
      <w:pPr>
        <w:spacing w:after="140"/>
      </w:pPr>
      <w:r>
        <w:rPr>
          <w:sz w:val="21"/>
          <w:szCs w:val="21"/>
        </w:rPr>
        <w:t xml:space="preserve">Combining emissions data with the dynamic LCA framework yields the following net climate impact estimates, expressed as tonnes of CO2-equivalent per tonne of biomass carbon processed, relative to and in absolute terms compared with immaculate combustion: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shd w:fill="1F4E37" w:val="clear"/>
            <w:tcMar>
              <w:top w:type="dxa" w:w="60"/>
              <w:left w:type="dxa" w:w="100"/>
              <w:bottom w:type="dxa" w:w="60"/>
              <w:right w:type="dxa" w:w="100"/>
            </w:tcMar>
            <w:vAlign w:val="center"/>
          </w:tcPr>
          <w:p>
            <w:pPr>
              <w:jc w:val="center"/>
            </w:pPr>
            <w:r>
              <w:rPr>
                <w:b/>
                <w:bCs/>
                <w:color w:val="FFFFFF"/>
                <w:sz w:val="20"/>
                <w:szCs w:val="20"/>
              </w:rPr>
              <w:t xml:space="preserve">Burn Type / Setting</w:t>
            </w:r>
          </w:p>
        </w:tc>
        <w:tc>
          <w:tcPr>
            <w:tcW w:type="dxa" w:w="2880"/>
            <w:shd w:fill="1F4E37" w:val="clear"/>
            <w:tcMar>
              <w:top w:type="dxa" w:w="60"/>
              <w:left w:type="dxa" w:w="100"/>
              <w:bottom w:type="dxa" w:w="60"/>
              <w:right w:type="dxa" w:w="100"/>
            </w:tcMar>
            <w:vAlign w:val="center"/>
          </w:tcPr>
          <w:p>
            <w:pPr>
              <w:jc w:val="center"/>
            </w:pPr>
            <w:r>
              <w:rPr>
                <w:b/>
                <w:bCs/>
                <w:color w:val="FFFFFF"/>
                <w:sz w:val="20"/>
                <w:szCs w:val="20"/>
              </w:rPr>
              <w:t xml:space="preserve">Relative to Immaculate Combustion</w:t>
            </w:r>
          </w:p>
        </w:tc>
        <w:tc>
          <w:tcPr>
            <w:tcW w:type="dxa" w:w="2880"/>
            <w:shd w:fill="1F4E37" w:val="clear"/>
            <w:tcMar>
              <w:top w:type="dxa" w:w="60"/>
              <w:left w:type="dxa" w:w="100"/>
              <w:bottom w:type="dxa" w:w="60"/>
              <w:right w:type="dxa" w:w="100"/>
            </w:tcMar>
            <w:vAlign w:val="center"/>
          </w:tcPr>
          <w:p>
            <w:pPr>
              <w:jc w:val="center"/>
            </w:pPr>
            <w:r>
              <w:rPr>
                <w:b/>
                <w:bCs/>
                <w:color w:val="FFFFFF"/>
                <w:sz w:val="20"/>
                <w:szCs w:val="20"/>
              </w:rPr>
              <w:t xml:space="preserve">Absolute (t CO2e100 / t biomass C)</w:t>
            </w:r>
          </w:p>
        </w:tc>
      </w:tr>
      <w:tr>
        <w:tc>
          <w:tcPr>
            <w:tcW w:type="dxa" w:w="36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Conservation (Field)</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1.67</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3.58</w:t>
            </w:r>
          </w:p>
        </w:tc>
      </w:tr>
      <w:tr>
        <w:tc>
          <w:tcPr>
            <w:tcW w:type="dxa" w:w="360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Traditional (Field)</w:t>
            </w:r>
          </w:p>
        </w:tc>
        <w:tc>
          <w:tcPr>
            <w:tcW w:type="dxa" w:w="288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2.04</w:t>
            </w:r>
          </w:p>
        </w:tc>
        <w:tc>
          <w:tcPr>
            <w:tcW w:type="dxa" w:w="288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3.95</w:t>
            </w:r>
          </w:p>
        </w:tc>
      </w:tr>
      <w:tr>
        <w:tc>
          <w:tcPr>
            <w:tcW w:type="dxa" w:w="36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Flame-Cap Kiln (Field)*</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2.72</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4.63</w:t>
            </w:r>
          </w:p>
        </w:tc>
      </w:tr>
      <w:tr>
        <w:tc>
          <w:tcPr>
            <w:tcW w:type="dxa" w:w="360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Traditional (Lab)</w:t>
            </w:r>
          </w:p>
        </w:tc>
        <w:tc>
          <w:tcPr>
            <w:tcW w:type="dxa" w:w="288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2.91</w:t>
            </w:r>
          </w:p>
        </w:tc>
        <w:tc>
          <w:tcPr>
            <w:tcW w:type="dxa" w:w="288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4.82</w:t>
            </w:r>
          </w:p>
        </w:tc>
      </w:tr>
      <w:tr>
        <w:tc>
          <w:tcPr>
            <w:tcW w:type="dxa" w:w="360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Conservation (Lab)</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2.97</w:t>
            </w:r>
          </w:p>
        </w:tc>
        <w:tc>
          <w:tcPr>
            <w:tcW w:type="dxa" w:w="288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4.88</w:t>
            </w:r>
          </w:p>
        </w:tc>
      </w:tr>
    </w:tbl>
    <w:p>
      <w:pPr>
        <w:spacing w:after="200" w:before="100"/>
      </w:pPr>
    </w:p>
    <w:p>
      <w:pPr>
        <w:pStyle w:val="ListParagraph"/>
        <w:numPr>
          <w:ilvl w:val="0"/>
          <w:numId w:val="1"/>
        </w:numPr>
        <w:spacing w:after="80"/>
      </w:pPr>
      <w:r>
        <w:rPr>
          <w:sz w:val="21"/>
          <w:szCs w:val="21"/>
        </w:rPr>
        <w:t xml:space="preserve">Conservation burning (field) showed the best overall 100-year climate performance among the methods tested.</w:t>
      </w:r>
    </w:p>
    <w:p>
      <w:pPr>
        <w:pStyle w:val="ListParagraph"/>
        <w:numPr>
          <w:ilvl w:val="0"/>
          <w:numId w:val="1"/>
        </w:numPr>
        <w:spacing w:after="80"/>
      </w:pPr>
      <w:r>
        <w:rPr>
          <w:sz w:val="21"/>
          <w:szCs w:val="21"/>
        </w:rPr>
        <w:t xml:space="preserve">Flame-Cap Kiln field results (marked *) are based on a single black-carbon measurement and should be treated as preliminary.</w:t>
      </w:r>
    </w:p>
    <w:p>
      <w:pPr>
        <w:pStyle w:val="ListParagraph"/>
        <w:numPr>
          <w:ilvl w:val="0"/>
          <w:numId w:val="1"/>
        </w:numPr>
        <w:spacing w:after="80"/>
      </w:pPr>
      <w:r>
        <w:rPr>
          <w:sz w:val="21"/>
          <w:szCs w:val="21"/>
        </w:rPr>
        <w:t xml:space="preserve">Laboratory replications of Traditional and Conservation burns showed somewhat higher climate impacts than their field counterparts, and the kiln could not be operated under representative conditions in the lab chamber (data not reported).</w:t>
      </w:r>
    </w:p>
    <w:p>
      <w:pPr>
        <w:pStyle w:val="Heading2"/>
        <w:spacing w:after="100" w:before="200"/>
      </w:pPr>
      <w:r>
        <w:rPr>
          <w:b/>
          <w:bCs/>
          <w:color w:val="355E3B"/>
          <w:sz w:val="24"/>
          <w:szCs w:val="24"/>
        </w:rPr>
        <w:t xml:space="preserve">4. Context Within Broader Biomass Management Pathways</w:t>
      </w:r>
    </w:p>
    <w:p>
      <w:pPr>
        <w:spacing w:after="140"/>
      </w:pPr>
      <w:r>
        <w:rPr>
          <w:sz w:val="21"/>
          <w:szCs w:val="21"/>
        </w:rPr>
        <w:t xml:space="preserve">When placed alongside other biomass fate pathways, all three in-forest techniques studied here fall in a favorable middle range and substantially outperform the most common current alternatives to on-site biomass disposal: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rPr>
          <w:tblHeader/>
        </w:trPr>
        <w:tc>
          <w:tcPr>
            <w:tcW w:type="dxa" w:w="5040"/>
            <w:shd w:fill="1F4E37" w:val="clear"/>
            <w:tcMar>
              <w:top w:type="dxa" w:w="60"/>
              <w:left w:type="dxa" w:w="100"/>
              <w:bottom w:type="dxa" w:w="60"/>
              <w:right w:type="dxa" w:w="100"/>
            </w:tcMar>
            <w:vAlign w:val="center"/>
          </w:tcPr>
          <w:p>
            <w:pPr>
              <w:jc w:val="left"/>
            </w:pPr>
            <w:r>
              <w:rPr>
                <w:b/>
                <w:bCs/>
                <w:color w:val="FFFFFF"/>
                <w:sz w:val="20"/>
                <w:szCs w:val="20"/>
              </w:rPr>
              <w:t xml:space="preserve">Biomass Fate Pathway</w:t>
            </w:r>
          </w:p>
        </w:tc>
        <w:tc>
          <w:tcPr>
            <w:tcW w:type="dxa" w:w="4320"/>
            <w:shd w:fill="1F4E37" w:val="clear"/>
            <w:tcMar>
              <w:top w:type="dxa" w:w="60"/>
              <w:left w:type="dxa" w:w="100"/>
              <w:bottom w:type="dxa" w:w="60"/>
              <w:right w:type="dxa" w:w="100"/>
            </w:tcMar>
            <w:vAlign w:val="center"/>
          </w:tcPr>
          <w:p>
            <w:pPr>
              <w:jc w:val="center"/>
            </w:pPr>
            <w:r>
              <w:rPr>
                <w:b/>
                <w:bCs/>
                <w:color w:val="FFFFFF"/>
                <w:sz w:val="20"/>
                <w:szCs w:val="20"/>
              </w:rPr>
              <w:t xml:space="preserve">Approx. Absolute CIPROD100 (t CO2e100 / t biomass C)</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Immaculate biochar w/ maximum bioenergy</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~0.5</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Gasifier w/ bioenergy &amp; emission controls</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~1.0</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Bioenergy w/ biochar production and flyash</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~1.4</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Auger-fed pyrolyzer w/ bioenergy</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~1.9</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Immaculate combustion (reference)</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~2.0</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Chip &amp; spread</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~2.0</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Auger-fed pyrolyzer (no bioenergy)</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~2.3</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Air curtain incinerator adapted for biochar</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~3.0</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Flame-cap kiln (this study range)</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~3.0–4.6</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Landfill</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~7.8</w:t>
            </w:r>
          </w:p>
        </w:tc>
      </w:tr>
      <w:tr>
        <w:tc>
          <w:tcPr>
            <w:tcW w:type="dxa" w:w="5040"/>
            <w:shd w:fill="FFFFFF" w:val="clear"/>
            <w:tcMar>
              <w:top w:type="dxa" w:w="60"/>
              <w:left w:type="dxa" w:w="100"/>
              <w:bottom w:type="dxa" w:w="60"/>
              <w:right w:type="dxa" w:w="100"/>
            </w:tcMar>
            <w:vAlign w:val="center"/>
          </w:tcPr>
          <w:p>
            <w:pPr>
              <w:jc w:val="left"/>
            </w:pPr>
            <w:r>
              <w:rPr>
                <w:b w:val="false"/>
                <w:bCs w:val="false"/>
                <w:color w:val="000000"/>
                <w:sz w:val="20"/>
                <w:szCs w:val="20"/>
              </w:rPr>
              <w:t xml:space="preserve">Moderate wildfire</w:t>
            </w:r>
          </w:p>
        </w:tc>
        <w:tc>
          <w:tcPr>
            <w:tcW w:type="dxa" w:w="4320"/>
            <w:shd w:fill="FFFFFF" w:val="clear"/>
            <w:tcMar>
              <w:top w:type="dxa" w:w="60"/>
              <w:left w:type="dxa" w:w="100"/>
              <w:bottom w:type="dxa" w:w="60"/>
              <w:right w:type="dxa" w:w="100"/>
            </w:tcMar>
            <w:vAlign w:val="center"/>
          </w:tcPr>
          <w:p>
            <w:pPr>
              <w:jc w:val="center"/>
            </w:pPr>
            <w:r>
              <w:rPr>
                <w:b w:val="false"/>
                <w:bCs w:val="false"/>
                <w:color w:val="000000"/>
                <w:sz w:val="20"/>
                <w:szCs w:val="20"/>
              </w:rPr>
              <w:t xml:space="preserve">~12.4</w:t>
            </w:r>
          </w:p>
        </w:tc>
      </w:tr>
      <w:tr>
        <w:tc>
          <w:tcPr>
            <w:tcW w:type="dxa" w:w="5040"/>
            <w:shd w:fill="F2F2F2" w:val="clear"/>
            <w:tcMar>
              <w:top w:type="dxa" w:w="60"/>
              <w:left w:type="dxa" w:w="100"/>
              <w:bottom w:type="dxa" w:w="60"/>
              <w:right w:type="dxa" w:w="100"/>
            </w:tcMar>
            <w:vAlign w:val="center"/>
          </w:tcPr>
          <w:p>
            <w:pPr>
              <w:jc w:val="left"/>
            </w:pPr>
            <w:r>
              <w:rPr>
                <w:b w:val="false"/>
                <w:bCs w:val="false"/>
                <w:color w:val="000000"/>
                <w:sz w:val="20"/>
                <w:szCs w:val="20"/>
              </w:rPr>
              <w:t xml:space="preserve">Slash pile burn</w:t>
            </w:r>
          </w:p>
        </w:tc>
        <w:tc>
          <w:tcPr>
            <w:tcW w:type="dxa" w:w="4320"/>
            <w:shd w:fill="F2F2F2" w:val="clear"/>
            <w:tcMar>
              <w:top w:type="dxa" w:w="60"/>
              <w:left w:type="dxa" w:w="100"/>
              <w:bottom w:type="dxa" w:w="60"/>
              <w:right w:type="dxa" w:w="100"/>
            </w:tcMar>
            <w:vAlign w:val="center"/>
          </w:tcPr>
          <w:p>
            <w:pPr>
              <w:jc w:val="center"/>
            </w:pPr>
            <w:r>
              <w:rPr>
                <w:b w:val="false"/>
                <w:bCs w:val="false"/>
                <w:color w:val="000000"/>
                <w:sz w:val="20"/>
                <w:szCs w:val="20"/>
              </w:rPr>
              <w:t xml:space="preserve">~12.5</w:t>
            </w:r>
          </w:p>
        </w:tc>
      </w:tr>
    </w:tbl>
    <w:p>
      <w:pPr>
        <w:spacing w:after="200" w:before="100"/>
      </w:pPr>
    </w:p>
    <w:p>
      <w:pPr>
        <w:pStyle w:val="ListParagraph"/>
        <w:numPr>
          <w:ilvl w:val="0"/>
          <w:numId w:val="1"/>
        </w:numPr>
        <w:spacing w:after="80"/>
      </w:pPr>
      <w:r>
        <w:rPr>
          <w:sz w:val="21"/>
          <w:szCs w:val="21"/>
        </w:rPr>
        <w:t xml:space="preserve">Slash pile burning and moderate wildfire — the most common fates for forest residues absent active management — show climate impacts roughly 3–4x higher than any of the in-forest biochar techniques studied.</w:t>
      </w:r>
    </w:p>
    <w:p>
      <w:pPr>
        <w:pStyle w:val="ListParagraph"/>
        <w:numPr>
          <w:ilvl w:val="0"/>
          <w:numId w:val="1"/>
        </w:numPr>
        <w:spacing w:after="80"/>
      </w:pPr>
      <w:r>
        <w:rPr>
          <w:sz w:val="21"/>
          <w:szCs w:val="21"/>
        </w:rPr>
        <w:t xml:space="preserve">Landfilling forest biomass likewise carries a substantially higher 100-year climate cost than any of the small-scale in-forest biochar methods evaluated.</w:t>
      </w:r>
    </w:p>
    <w:p>
      <w:pPr>
        <w:pStyle w:val="ListParagraph"/>
        <w:numPr>
          <w:ilvl w:val="0"/>
          <w:numId w:val="1"/>
        </w:numPr>
        <w:spacing w:after="80"/>
      </w:pPr>
      <w:r>
        <w:rPr>
          <w:sz w:val="21"/>
          <w:szCs w:val="21"/>
        </w:rPr>
        <w:t xml:space="preserve">More engineered options (gasifiers, auger-fed pyrolyzers with bioenergy recovery) outperform all three field techniques studied here, indicating room for improvement through bioenergy capture — none of which was credited in this preliminary analysis.</w:t>
      </w:r>
    </w:p>
    <w:p>
      <w:pPr>
        <w:pStyle w:val="Heading1"/>
        <w:spacing w:after="150" w:before="300"/>
      </w:pPr>
      <w:r>
        <w:rPr>
          <w:b/>
          <w:bCs/>
          <w:color w:val="1F4E37"/>
          <w:sz w:val="28"/>
          <w:szCs w:val="28"/>
        </w:rPr>
        <w:t xml:space="preserve">Caveats and Data Limitations</w:t>
      </w:r>
    </w:p>
    <w:p>
      <w:pPr>
        <w:pStyle w:val="ListParagraph"/>
        <w:numPr>
          <w:ilvl w:val="0"/>
          <w:numId w:val="1"/>
        </w:numPr>
        <w:spacing w:after="80"/>
      </w:pPr>
      <w:r>
        <w:rPr>
          <w:sz w:val="21"/>
          <w:szCs w:val="21"/>
        </w:rPr>
        <w:t xml:space="preserve">Black-carbon aerosol emissions were measured in only 6 of 15 field burns; kiln field results rely on a single measurement and are flagged as preliminary.</w:t>
      </w:r>
    </w:p>
    <w:p>
      <w:pPr>
        <w:pStyle w:val="ListParagraph"/>
        <w:numPr>
          <w:ilvl w:val="0"/>
          <w:numId w:val="1"/>
        </w:numPr>
        <w:spacing w:after="80"/>
      </w:pPr>
      <w:r>
        <w:rPr>
          <w:sz w:val="21"/>
          <w:szCs w:val="21"/>
        </w:rPr>
        <w:t xml:space="preserve">N2O emission factors were estimated as 10% of measured NOx emissions rather than directly measured.</w:t>
      </w:r>
    </w:p>
    <w:p>
      <w:pPr>
        <w:pStyle w:val="ListParagraph"/>
        <w:numPr>
          <w:ilvl w:val="0"/>
          <w:numId w:val="1"/>
        </w:numPr>
        <w:spacing w:after="80"/>
      </w:pPr>
      <w:r>
        <w:rPr>
          <w:sz w:val="21"/>
          <w:szCs w:val="21"/>
        </w:rPr>
        <w:t xml:space="preserve">Flame-Cap Kiln performance could not be replicated under representative conditions in the laboratory chamber (2x normal chimney flow rate, smaller pile size), so no lab-based kiln results are reported.</w:t>
      </w:r>
    </w:p>
    <w:p>
      <w:pPr>
        <w:pStyle w:val="ListParagraph"/>
        <w:numPr>
          <w:ilvl w:val="0"/>
          <w:numId w:val="1"/>
        </w:numPr>
        <w:spacing w:after="80"/>
      </w:pPr>
      <w:r>
        <w:rPr>
          <w:sz w:val="21"/>
          <w:szCs w:val="21"/>
        </w:rPr>
        <w:t xml:space="preserve">All results are described by the author as preliminary; final peer-reviewed values may differ.</w:t>
      </w:r>
    </w:p>
    <w:p>
      <w:pPr>
        <w:pStyle w:val="Heading1"/>
        <w:spacing w:after="150" w:before="300"/>
      </w:pPr>
      <w:r>
        <w:rPr>
          <w:b/>
          <w:bCs/>
          <w:color w:val="1F4E37"/>
          <w:sz w:val="28"/>
          <w:szCs w:val="28"/>
        </w:rPr>
        <w:t xml:space="preserve">Relevance to Proposed Work</w:t>
      </w:r>
    </w:p>
    <w:p>
      <w:pPr>
        <w:spacing w:after="140"/>
      </w:pPr>
      <w:r>
        <w:rPr>
          <w:sz w:val="21"/>
          <w:szCs w:val="21"/>
        </w:rPr>
        <w:t xml:space="preserve">These preliminary findings provide independent, field- and lab-validated quantitative support for the premise that small-scale, in-forest biochar production — particularly Flame-Cap Kiln and Conservation burning techniques — offers a substantially better 100-year climate outcome than conventional slash pile burning or leaving biomass to wildfire risk, while simultaneously converting forest fuels-reduction byproducts into a stable soil-carbon product. This directly supports the technical rationale for projects pairing forest health/fuels-reduction treatments with distributed biochar production, and for further applied research on biochar carbon efficiency, emissions characterization, and downstream soil or stormwater applications.</w:t>
      </w:r>
    </w:p>
    <w:p>
      <w:pPr>
        <w:spacing w:before="300"/>
      </w:pPr>
    </w:p>
    <w:p>
      <w:pPr>
        <w:pBdr>
          <w:top w:val="single" w:color="999999" w:sz="6" w:space="4"/>
        </w:pBdr>
        <w:spacing w:before="100"/>
      </w:pPr>
      <w:r>
        <w:rPr>
          <w:i/>
          <w:iCs/>
          <w:color w:val="888888"/>
          <w:sz w:val="17"/>
          <w:szCs w:val="17"/>
        </w:rPr>
        <w:t xml:space="preserve">Prepared as a supporting summary for grant application use. Original data and analysis: Jim Amonette, WSU Center for Sustaining Agriculture &amp; Natural Resources / PNNL Physical Sciences Division, Project Webinar, 20 March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2026-07-04T17:18:43.395Z</dcterms:created>
  <dcterms:modified xsi:type="dcterms:W3CDTF">2026-07-04T17:18:43.395Z</dcterms:modified>
</cp:coreProperties>
</file>

<file path=docProps/custom.xml><?xml version="1.0" encoding="utf-8"?>
<Properties xmlns="http://schemas.openxmlformats.org/officeDocument/2006/custom-properties" xmlns:vt="http://schemas.openxmlformats.org/officeDocument/2006/docPropsVTypes"/>
</file>